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F285AF3" w14:textId="77777777" w:rsidR="00282A5B" w:rsidRDefault="00282A5B" w:rsidP="00957BD1">
      <w:pPr>
        <w:tabs>
          <w:tab w:val="left" w:pos="1134"/>
          <w:tab w:val="left" w:pos="5103"/>
        </w:tabs>
        <w:rPr>
          <w:rFonts w:ascii="Arial" w:hAnsi="Arial" w:cs="Arial"/>
          <w:sz w:val="22"/>
          <w:szCs w:val="22"/>
          <w:lang w:val="lt-LT"/>
        </w:rPr>
      </w:pPr>
      <w:bookmarkStart w:id="1" w:name="_GoBack"/>
      <w:bookmarkEnd w:id="1"/>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957BD1">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EC286" w14:textId="77777777" w:rsidR="002C4C67" w:rsidRDefault="002C4C67" w:rsidP="009A01F8">
      <w:r>
        <w:separator/>
      </w:r>
    </w:p>
  </w:endnote>
  <w:endnote w:type="continuationSeparator" w:id="0">
    <w:p w14:paraId="06C9CC64" w14:textId="77777777" w:rsidR="002C4C67" w:rsidRDefault="002C4C6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428AD" w14:textId="77777777" w:rsidR="00957BD1" w:rsidRDefault="00957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E4842" w14:textId="77777777" w:rsidR="00957BD1" w:rsidRDefault="00957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9C185" w14:textId="77777777" w:rsidR="002C4C67" w:rsidRDefault="002C4C67" w:rsidP="009A01F8">
      <w:r>
        <w:separator/>
      </w:r>
    </w:p>
  </w:footnote>
  <w:footnote w:type="continuationSeparator" w:id="0">
    <w:p w14:paraId="5AC14184" w14:textId="77777777" w:rsidR="002C4C67" w:rsidRDefault="002C4C6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994E8" w14:textId="77777777" w:rsidR="00957BD1" w:rsidRDefault="00957B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356D0" w14:textId="77777777" w:rsidR="00957BD1" w:rsidRDefault="00957B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4C67"/>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84C1C"/>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3FD7"/>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27AB0"/>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BD1"/>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09507">
      <w:bodyDiv w:val="1"/>
      <w:marLeft w:val="0"/>
      <w:marRight w:val="0"/>
      <w:marTop w:val="0"/>
      <w:marBottom w:val="0"/>
      <w:divBdr>
        <w:top w:val="none" w:sz="0" w:space="0" w:color="auto"/>
        <w:left w:val="none" w:sz="0" w:space="0" w:color="auto"/>
        <w:bottom w:val="none" w:sz="0" w:space="0" w:color="auto"/>
        <w:right w:val="none" w:sz="0" w:space="0" w:color="auto"/>
      </w:divBdr>
    </w:div>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66B228-179B-41E2-A7AB-970BC7F2B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12598</Words>
  <Characters>7182</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2020-12-30T08:29:00Z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